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50BE" w14:textId="77777777" w:rsidR="008E54F8" w:rsidRDefault="00DE6244" w:rsidP="00F41177">
      <w:pPr>
        <w:pStyle w:val="ListParagraph"/>
        <w:ind w:left="360"/>
        <w:rPr>
          <w:b/>
          <w:color w:val="7030A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80DAD67" wp14:editId="5FC1FFB7">
            <wp:simplePos x="0" y="0"/>
            <wp:positionH relativeFrom="column">
              <wp:posOffset>5496560</wp:posOffset>
            </wp:positionH>
            <wp:positionV relativeFrom="paragraph">
              <wp:posOffset>205</wp:posOffset>
            </wp:positionV>
            <wp:extent cx="1315085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77" y="21280"/>
                <wp:lineTo x="21277" y="0"/>
                <wp:lineTo x="0" y="0"/>
              </wp:wrapPolygon>
            </wp:wrapTight>
            <wp:docPr id="19458" name="Picture 4" descr="DSC0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4" descr="DSC004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  <w:r w:rsidR="00FC2068" w:rsidRPr="00FC2068">
        <w:rPr>
          <w:b/>
          <w:color w:val="7030A0"/>
          <w:sz w:val="28"/>
          <w:szCs w:val="28"/>
        </w:rPr>
        <w:t>Clear Creek/Standley Lake Watershed Agreement</w:t>
      </w:r>
    </w:p>
    <w:p w14:paraId="10956BA2" w14:textId="77777777" w:rsidR="00FC2068" w:rsidRDefault="00FC2068" w:rsidP="00F41177">
      <w:pPr>
        <w:pStyle w:val="ListParagraph"/>
        <w:ind w:hanging="360"/>
        <w:rPr>
          <w:color w:val="A6A6A6" w:themeColor="background1" w:themeShade="A6"/>
          <w:sz w:val="24"/>
          <w:szCs w:val="24"/>
        </w:rPr>
      </w:pPr>
      <w:r w:rsidRPr="00FC2068">
        <w:rPr>
          <w:color w:val="A6A6A6" w:themeColor="background1" w:themeShade="A6"/>
          <w:sz w:val="24"/>
          <w:szCs w:val="24"/>
        </w:rPr>
        <w:t xml:space="preserve">A comparison </w:t>
      </w:r>
      <w:r w:rsidR="00E7704C">
        <w:rPr>
          <w:color w:val="A6A6A6" w:themeColor="background1" w:themeShade="A6"/>
          <w:sz w:val="24"/>
          <w:szCs w:val="24"/>
        </w:rPr>
        <w:t>of the 1993 and proposed</w:t>
      </w:r>
      <w:r w:rsidRPr="00FC2068">
        <w:rPr>
          <w:color w:val="A6A6A6" w:themeColor="background1" w:themeShade="A6"/>
          <w:sz w:val="24"/>
          <w:szCs w:val="24"/>
        </w:rPr>
        <w:t xml:space="preserve"> Agreement</w:t>
      </w:r>
    </w:p>
    <w:p w14:paraId="4F4EDAD3" w14:textId="7BB22F22" w:rsidR="00FC2068" w:rsidRDefault="00771FA8" w:rsidP="00F41177">
      <w:pPr>
        <w:pStyle w:val="ListParagraph"/>
        <w:ind w:hanging="360"/>
        <w:rPr>
          <w:color w:val="A6A6A6" w:themeColor="background1" w:themeShade="A6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7BEB45" wp14:editId="2534F545">
                <wp:simplePos x="0" y="0"/>
                <wp:positionH relativeFrom="column">
                  <wp:posOffset>252095</wp:posOffset>
                </wp:positionH>
                <wp:positionV relativeFrom="paragraph">
                  <wp:posOffset>98424</wp:posOffset>
                </wp:positionV>
                <wp:extent cx="5025390" cy="0"/>
                <wp:effectExtent l="0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EC029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9.85pt,7.75pt" to="41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" strokecolor="#2e74b5 [2404]" strokeweight="4.75pt">
                <v:stroke joinstyle="miter"/>
                <o:lock v:ext="edit" shapetype="f"/>
              </v:line>
            </w:pict>
          </mc:Fallback>
        </mc:AlternateContent>
      </w:r>
    </w:p>
    <w:p w14:paraId="1F2DBA9A" w14:textId="77777777" w:rsidR="00FC2068" w:rsidRPr="00F41177" w:rsidRDefault="00F41177" w:rsidP="009A4766">
      <w:pPr>
        <w:pStyle w:val="ListParagraph"/>
        <w:spacing w:after="0"/>
        <w:ind w:hanging="36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How</w:t>
      </w:r>
      <w:r w:rsidR="003A557C">
        <w:rPr>
          <w:color w:val="7030A0"/>
          <w:sz w:val="24"/>
          <w:szCs w:val="24"/>
        </w:rPr>
        <w:t xml:space="preserve"> did we get here? </w:t>
      </w:r>
    </w:p>
    <w:p w14:paraId="385C79A4" w14:textId="77777777" w:rsidR="009C4EC1" w:rsidRDefault="00F41177" w:rsidP="009C4EC1">
      <w:pPr>
        <w:ind w:left="405"/>
        <w:rPr>
          <w:sz w:val="20"/>
          <w:szCs w:val="20"/>
        </w:rPr>
      </w:pPr>
      <w:r w:rsidRPr="009827E7">
        <w:rPr>
          <w:sz w:val="20"/>
          <w:szCs w:val="20"/>
        </w:rPr>
        <w:t xml:space="preserve">In </w:t>
      </w:r>
      <w:r w:rsidR="00004604" w:rsidRPr="009827E7">
        <w:rPr>
          <w:sz w:val="20"/>
          <w:szCs w:val="20"/>
        </w:rPr>
        <w:t xml:space="preserve">1988, the Water Quality Control Commission began consideration of nutrient standards for Standley Lake </w:t>
      </w:r>
      <w:r w:rsidR="00384523">
        <w:rPr>
          <w:sz w:val="20"/>
          <w:szCs w:val="20"/>
        </w:rPr>
        <w:t xml:space="preserve">(SL) </w:t>
      </w:r>
      <w:r w:rsidR="00004604" w:rsidRPr="009827E7">
        <w:rPr>
          <w:sz w:val="20"/>
          <w:szCs w:val="20"/>
        </w:rPr>
        <w:t xml:space="preserve">when the Cities of Westminster and Thornton proposed numeric standards.  The Commission did not adopt standards and asked the stakeholders </w:t>
      </w:r>
      <w:r w:rsidR="00A24053">
        <w:rPr>
          <w:sz w:val="20"/>
          <w:szCs w:val="20"/>
        </w:rPr>
        <w:t xml:space="preserve">to </w:t>
      </w:r>
      <w:r w:rsidR="00004604" w:rsidRPr="009827E7">
        <w:rPr>
          <w:sz w:val="20"/>
          <w:szCs w:val="20"/>
        </w:rPr>
        <w:t xml:space="preserve">work together to gather data upon which to base permanent water quality </w:t>
      </w:r>
      <w:r w:rsidR="00D00567">
        <w:rPr>
          <w:sz w:val="20"/>
          <w:szCs w:val="20"/>
        </w:rPr>
        <w:t xml:space="preserve">(WQ) </w:t>
      </w:r>
      <w:r w:rsidR="00004604" w:rsidRPr="009827E7">
        <w:rPr>
          <w:sz w:val="20"/>
          <w:szCs w:val="20"/>
        </w:rPr>
        <w:t xml:space="preserve">standards to protect Standley Lake. </w:t>
      </w:r>
    </w:p>
    <w:p w14:paraId="4EB35E4C" w14:textId="77777777" w:rsidR="00004604" w:rsidRPr="009827E7" w:rsidRDefault="00004604" w:rsidP="009C4EC1">
      <w:pPr>
        <w:ind w:left="405"/>
        <w:rPr>
          <w:sz w:val="20"/>
          <w:szCs w:val="20"/>
        </w:rPr>
      </w:pPr>
      <w:r w:rsidRPr="009827E7">
        <w:rPr>
          <w:sz w:val="20"/>
          <w:szCs w:val="20"/>
        </w:rPr>
        <w:t>In 1993, 23 parties</w:t>
      </w:r>
      <w:r w:rsidR="00B32DD2" w:rsidRPr="009827E7">
        <w:rPr>
          <w:sz w:val="20"/>
          <w:szCs w:val="20"/>
          <w:vertAlign w:val="superscript"/>
        </w:rPr>
        <w:t>1</w:t>
      </w:r>
      <w:r w:rsidRPr="009827E7">
        <w:rPr>
          <w:sz w:val="20"/>
          <w:szCs w:val="20"/>
        </w:rPr>
        <w:t xml:space="preserve"> signed an Agreement to address certain water quality issues and concerns within the Clear Creek </w:t>
      </w:r>
      <w:r w:rsidR="00384523">
        <w:rPr>
          <w:sz w:val="20"/>
          <w:szCs w:val="20"/>
        </w:rPr>
        <w:t xml:space="preserve">(CC) </w:t>
      </w:r>
      <w:r w:rsidRPr="009827E7">
        <w:rPr>
          <w:sz w:val="20"/>
          <w:szCs w:val="20"/>
        </w:rPr>
        <w:t>Basin that ha</w:t>
      </w:r>
      <w:r w:rsidR="00A24053">
        <w:rPr>
          <w:sz w:val="20"/>
          <w:szCs w:val="20"/>
        </w:rPr>
        <w:t>d</w:t>
      </w:r>
      <w:r w:rsidRPr="009827E7">
        <w:rPr>
          <w:sz w:val="20"/>
          <w:szCs w:val="20"/>
        </w:rPr>
        <w:t xml:space="preserve"> the potential to impact water quality in Standley Lake.  A narrative standard was adopted for Standley Lake to be implemented on a voluntary basis using best management practices</w:t>
      </w:r>
      <w:r w:rsidR="00384523">
        <w:rPr>
          <w:sz w:val="20"/>
          <w:szCs w:val="20"/>
        </w:rPr>
        <w:t xml:space="preserve"> (BMPs)</w:t>
      </w:r>
      <w:r w:rsidRPr="009827E7">
        <w:rPr>
          <w:sz w:val="20"/>
          <w:szCs w:val="20"/>
        </w:rPr>
        <w:t xml:space="preserve"> and wastewater treatment facility controls.  Signatories implemented a cooperative water quality monitoring program.</w:t>
      </w:r>
    </w:p>
    <w:p w14:paraId="52355BA8" w14:textId="77777777" w:rsidR="00004604" w:rsidRPr="009827E7" w:rsidRDefault="00004604" w:rsidP="00F41177">
      <w:pPr>
        <w:ind w:left="405"/>
        <w:rPr>
          <w:sz w:val="20"/>
          <w:szCs w:val="20"/>
        </w:rPr>
      </w:pPr>
      <w:r w:rsidRPr="009827E7">
        <w:rPr>
          <w:sz w:val="20"/>
          <w:szCs w:val="20"/>
        </w:rPr>
        <w:t xml:space="preserve">Sixteen years later, in 2009, the Standley Lake Cities </w:t>
      </w:r>
      <w:r w:rsidR="001949F3" w:rsidRPr="009827E7">
        <w:rPr>
          <w:sz w:val="20"/>
          <w:szCs w:val="20"/>
        </w:rPr>
        <w:t xml:space="preserve">(SLC) </w:t>
      </w:r>
      <w:r w:rsidRPr="009827E7">
        <w:rPr>
          <w:sz w:val="20"/>
          <w:szCs w:val="20"/>
        </w:rPr>
        <w:t xml:space="preserve">petitioned </w:t>
      </w:r>
      <w:r w:rsidR="00615A21">
        <w:rPr>
          <w:sz w:val="20"/>
          <w:szCs w:val="20"/>
        </w:rPr>
        <w:t xml:space="preserve">for </w:t>
      </w:r>
      <w:r w:rsidRPr="009827E7">
        <w:rPr>
          <w:sz w:val="20"/>
          <w:szCs w:val="20"/>
        </w:rPr>
        <w:t xml:space="preserve">and </w:t>
      </w:r>
      <w:r w:rsidR="0014652B">
        <w:rPr>
          <w:sz w:val="20"/>
          <w:szCs w:val="20"/>
        </w:rPr>
        <w:t>were</w:t>
      </w:r>
      <w:r w:rsidR="0014652B" w:rsidRPr="009827E7">
        <w:rPr>
          <w:sz w:val="20"/>
          <w:szCs w:val="20"/>
        </w:rPr>
        <w:t xml:space="preserve"> </w:t>
      </w:r>
      <w:r w:rsidRPr="009827E7">
        <w:rPr>
          <w:sz w:val="20"/>
          <w:szCs w:val="20"/>
        </w:rPr>
        <w:t xml:space="preserve">granted a </w:t>
      </w:r>
      <w:r w:rsidRPr="00650CB4">
        <w:rPr>
          <w:sz w:val="20"/>
          <w:szCs w:val="20"/>
        </w:rPr>
        <w:t xml:space="preserve">chlorophyll </w:t>
      </w:r>
      <w:r w:rsidRPr="009827E7">
        <w:rPr>
          <w:i/>
          <w:sz w:val="20"/>
          <w:szCs w:val="20"/>
        </w:rPr>
        <w:t>a</w:t>
      </w:r>
      <w:r w:rsidRPr="009827E7">
        <w:rPr>
          <w:sz w:val="20"/>
          <w:szCs w:val="20"/>
        </w:rPr>
        <w:t xml:space="preserve"> standard for Standley Lake.  UCCWA supported the </w:t>
      </w:r>
      <w:r w:rsidR="00384523">
        <w:rPr>
          <w:sz w:val="20"/>
          <w:szCs w:val="20"/>
        </w:rPr>
        <w:t>SLC’s</w:t>
      </w:r>
      <w:r w:rsidRPr="009827E7">
        <w:rPr>
          <w:sz w:val="20"/>
          <w:szCs w:val="20"/>
        </w:rPr>
        <w:t xml:space="preserve"> proposal.  </w:t>
      </w:r>
      <w:r w:rsidRPr="00650CB4">
        <w:rPr>
          <w:sz w:val="20"/>
          <w:szCs w:val="20"/>
        </w:rPr>
        <w:t xml:space="preserve">Chlorophyll </w:t>
      </w:r>
      <w:r w:rsidRPr="009827E7">
        <w:rPr>
          <w:i/>
          <w:sz w:val="20"/>
          <w:szCs w:val="20"/>
        </w:rPr>
        <w:t>a</w:t>
      </w:r>
      <w:r w:rsidRPr="009827E7">
        <w:rPr>
          <w:sz w:val="20"/>
          <w:szCs w:val="20"/>
        </w:rPr>
        <w:t xml:space="preserve"> was selected as a scientifically accepted surrogate for nutrients </w:t>
      </w:r>
      <w:r w:rsidR="001420E1">
        <w:rPr>
          <w:sz w:val="20"/>
          <w:szCs w:val="20"/>
        </w:rPr>
        <w:t xml:space="preserve">that </w:t>
      </w:r>
      <w:r w:rsidRPr="009827E7">
        <w:rPr>
          <w:sz w:val="20"/>
          <w:szCs w:val="20"/>
        </w:rPr>
        <w:t xml:space="preserve">has implications for disinfection byproduct formation, and is a taste and odor concern.  The standard was set at </w:t>
      </w:r>
      <w:r w:rsidR="00795E01">
        <w:rPr>
          <w:sz w:val="20"/>
          <w:szCs w:val="20"/>
        </w:rPr>
        <w:t>current conditions</w:t>
      </w:r>
      <w:r w:rsidR="00F2397A">
        <w:rPr>
          <w:sz w:val="20"/>
          <w:szCs w:val="20"/>
        </w:rPr>
        <w:t xml:space="preserve"> </w:t>
      </w:r>
      <w:r w:rsidRPr="009827E7">
        <w:rPr>
          <w:sz w:val="20"/>
          <w:szCs w:val="20"/>
        </w:rPr>
        <w:t>based on 14 years of water quality data.</w:t>
      </w:r>
    </w:p>
    <w:p w14:paraId="640A11E6" w14:textId="77777777" w:rsidR="00B32DD2" w:rsidRDefault="00E21869" w:rsidP="00A402AF">
      <w:pPr>
        <w:ind w:left="405"/>
        <w:rPr>
          <w:sz w:val="20"/>
          <w:szCs w:val="20"/>
        </w:rPr>
      </w:pPr>
      <w:r w:rsidRPr="00A402AF">
        <w:rPr>
          <w:sz w:val="20"/>
          <w:szCs w:val="20"/>
        </w:rPr>
        <w:t xml:space="preserve">Desiring to reflect changes </w:t>
      </w:r>
      <w:r w:rsidR="001420E1" w:rsidRPr="00A402AF">
        <w:rPr>
          <w:sz w:val="20"/>
          <w:szCs w:val="20"/>
        </w:rPr>
        <w:t>to water quality standards adopted</w:t>
      </w:r>
      <w:r w:rsidR="00162AA8" w:rsidRPr="00A402AF">
        <w:rPr>
          <w:sz w:val="20"/>
          <w:szCs w:val="20"/>
        </w:rPr>
        <w:t xml:space="preserve"> in 2009</w:t>
      </w:r>
      <w:r w:rsidR="00795E01" w:rsidRPr="00A402AF">
        <w:rPr>
          <w:sz w:val="20"/>
          <w:szCs w:val="20"/>
        </w:rPr>
        <w:t xml:space="preserve"> </w:t>
      </w:r>
      <w:r w:rsidR="00795E01" w:rsidRPr="00817283">
        <w:rPr>
          <w:sz w:val="20"/>
          <w:szCs w:val="20"/>
        </w:rPr>
        <w:t>and renew the commitment to work together for Clear</w:t>
      </w:r>
      <w:r w:rsidR="00795E01">
        <w:rPr>
          <w:sz w:val="20"/>
          <w:szCs w:val="20"/>
        </w:rPr>
        <w:t xml:space="preserve"> Creek and Standley Lake health, </w:t>
      </w:r>
      <w:r w:rsidR="001420E1">
        <w:rPr>
          <w:sz w:val="20"/>
          <w:szCs w:val="20"/>
        </w:rPr>
        <w:t xml:space="preserve">representatives </w:t>
      </w:r>
      <w:r w:rsidR="001949F3" w:rsidRPr="009827E7">
        <w:rPr>
          <w:sz w:val="20"/>
          <w:szCs w:val="20"/>
        </w:rPr>
        <w:t xml:space="preserve">of the SLC and the UCCWA began meeting </w:t>
      </w:r>
      <w:r w:rsidR="00C109D8">
        <w:rPr>
          <w:sz w:val="20"/>
          <w:szCs w:val="20"/>
        </w:rPr>
        <w:t>in 2010</w:t>
      </w:r>
      <w:r w:rsidR="00162AA8">
        <w:rPr>
          <w:sz w:val="20"/>
          <w:szCs w:val="20"/>
        </w:rPr>
        <w:t xml:space="preserve"> </w:t>
      </w:r>
      <w:r w:rsidR="001949F3" w:rsidRPr="009827E7">
        <w:rPr>
          <w:sz w:val="20"/>
          <w:szCs w:val="20"/>
        </w:rPr>
        <w:t xml:space="preserve">to </w:t>
      </w:r>
      <w:r w:rsidR="001420E1">
        <w:rPr>
          <w:sz w:val="20"/>
          <w:szCs w:val="20"/>
        </w:rPr>
        <w:t>revise</w:t>
      </w:r>
      <w:r w:rsidR="00E7704C">
        <w:rPr>
          <w:sz w:val="20"/>
          <w:szCs w:val="20"/>
        </w:rPr>
        <w:t xml:space="preserve"> the 1993 Agreement.  The proposed</w:t>
      </w:r>
      <w:r w:rsidR="001949F3" w:rsidRPr="009827E7">
        <w:rPr>
          <w:sz w:val="20"/>
          <w:szCs w:val="20"/>
        </w:rPr>
        <w:t xml:space="preserve"> Agreement will update </w:t>
      </w:r>
      <w:r w:rsidR="00DE6244" w:rsidRPr="009827E7">
        <w:rPr>
          <w:sz w:val="20"/>
          <w:szCs w:val="20"/>
        </w:rPr>
        <w:t xml:space="preserve">and replace </w:t>
      </w:r>
      <w:r w:rsidR="00397D83" w:rsidRPr="009827E7">
        <w:rPr>
          <w:sz w:val="20"/>
          <w:szCs w:val="20"/>
        </w:rPr>
        <w:t>the 1993 Agreement</w:t>
      </w:r>
      <w:r>
        <w:rPr>
          <w:sz w:val="20"/>
          <w:szCs w:val="20"/>
        </w:rPr>
        <w:t xml:space="preserve">.  </w:t>
      </w:r>
      <w:r w:rsidR="00B24B03" w:rsidRPr="009827E7">
        <w:rPr>
          <w:sz w:val="20"/>
          <w:szCs w:val="20"/>
        </w:rPr>
        <w:t>A guidance document was devel</w:t>
      </w:r>
      <w:r w:rsidR="00E7704C">
        <w:rPr>
          <w:sz w:val="20"/>
          <w:szCs w:val="20"/>
        </w:rPr>
        <w:t>oped in conjunction with the proposed</w:t>
      </w:r>
      <w:r w:rsidR="00B24B03" w:rsidRPr="009827E7">
        <w:rPr>
          <w:sz w:val="20"/>
          <w:szCs w:val="20"/>
        </w:rPr>
        <w:t xml:space="preserve"> Agreement.  The guidance include</w:t>
      </w:r>
      <w:r w:rsidR="00D41472">
        <w:rPr>
          <w:sz w:val="20"/>
          <w:szCs w:val="20"/>
        </w:rPr>
        <w:t>s</w:t>
      </w:r>
      <w:r w:rsidR="00B24B03" w:rsidRPr="009827E7">
        <w:rPr>
          <w:sz w:val="20"/>
          <w:szCs w:val="20"/>
        </w:rPr>
        <w:t xml:space="preserve"> examples of the types of projects and policies supportive of the intent of the Agreement.</w:t>
      </w:r>
    </w:p>
    <w:p w14:paraId="715D8489" w14:textId="77777777" w:rsidR="00655A32" w:rsidRPr="00E21869" w:rsidRDefault="00655A32" w:rsidP="00655A32">
      <w:pPr>
        <w:spacing w:after="0"/>
        <w:ind w:left="405"/>
        <w:rPr>
          <w:color w:val="7030A0"/>
          <w:sz w:val="20"/>
          <w:szCs w:val="20"/>
        </w:rPr>
      </w:pPr>
      <w:r w:rsidRPr="00655A32">
        <w:rPr>
          <w:color w:val="7030A0"/>
          <w:sz w:val="20"/>
          <w:szCs w:val="20"/>
        </w:rPr>
        <w:t xml:space="preserve">Table 1. Comparison of 1993 Agreement and proposed Agreement 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1570"/>
        <w:gridCol w:w="4050"/>
        <w:gridCol w:w="4680"/>
      </w:tblGrid>
      <w:tr w:rsidR="00F130FB" w14:paraId="62281E90" w14:textId="77777777">
        <w:tc>
          <w:tcPr>
            <w:tcW w:w="1570" w:type="dxa"/>
            <w:shd w:val="clear" w:color="auto" w:fill="2E74B5" w:themeFill="accent1" w:themeFillShade="BF"/>
          </w:tcPr>
          <w:p w14:paraId="2BB26FC3" w14:textId="77777777" w:rsidR="00F130FB" w:rsidRPr="00AD2867" w:rsidRDefault="00F130FB" w:rsidP="00F41177">
            <w:pPr>
              <w:rPr>
                <w:color w:val="FFFFFF" w:themeColor="background1"/>
              </w:rPr>
            </w:pPr>
            <w:r w:rsidRPr="00AD2867">
              <w:rPr>
                <w:color w:val="FFFFFF" w:themeColor="background1"/>
              </w:rPr>
              <w:t>Attribute</w:t>
            </w:r>
          </w:p>
        </w:tc>
        <w:tc>
          <w:tcPr>
            <w:tcW w:w="4050" w:type="dxa"/>
            <w:shd w:val="clear" w:color="auto" w:fill="2E74B5" w:themeFill="accent1" w:themeFillShade="BF"/>
          </w:tcPr>
          <w:p w14:paraId="77764635" w14:textId="77777777" w:rsidR="00F130FB" w:rsidRPr="00AD2867" w:rsidRDefault="00F130FB" w:rsidP="00F41177">
            <w:pPr>
              <w:rPr>
                <w:color w:val="FFFFFF" w:themeColor="background1"/>
              </w:rPr>
            </w:pPr>
            <w:r w:rsidRPr="00AD2867">
              <w:rPr>
                <w:color w:val="FFFFFF" w:themeColor="background1"/>
              </w:rPr>
              <w:t>1993 Agreement</w:t>
            </w:r>
          </w:p>
        </w:tc>
        <w:tc>
          <w:tcPr>
            <w:tcW w:w="4680" w:type="dxa"/>
            <w:shd w:val="clear" w:color="auto" w:fill="2E74B5" w:themeFill="accent1" w:themeFillShade="BF"/>
          </w:tcPr>
          <w:p w14:paraId="0F704C34" w14:textId="77777777" w:rsidR="00F130FB" w:rsidRPr="00AD2867" w:rsidRDefault="00E7704C" w:rsidP="00F411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Proposed</w:t>
            </w:r>
            <w:r w:rsidR="00F130FB" w:rsidRPr="00AD2867">
              <w:rPr>
                <w:color w:val="FFFFFF" w:themeColor="background1"/>
              </w:rPr>
              <w:t xml:space="preserve"> Agreement</w:t>
            </w:r>
          </w:p>
        </w:tc>
      </w:tr>
      <w:tr w:rsidR="00F130FB" w14:paraId="239CC41B" w14:textId="77777777">
        <w:tc>
          <w:tcPr>
            <w:tcW w:w="1570" w:type="dxa"/>
            <w:shd w:val="clear" w:color="auto" w:fill="BFBFBF" w:themeFill="background1" w:themeFillShade="BF"/>
          </w:tcPr>
          <w:p w14:paraId="38295294" w14:textId="77777777" w:rsidR="00F130FB" w:rsidRPr="00877884" w:rsidRDefault="00F130FB" w:rsidP="00F41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</w:t>
            </w:r>
            <w:r w:rsidR="0014652B">
              <w:rPr>
                <w:sz w:val="20"/>
                <w:szCs w:val="20"/>
              </w:rPr>
              <w:t>s &amp;</w:t>
            </w:r>
            <w:r w:rsidR="00D41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Goals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2451D08F" w14:textId="77777777" w:rsidR="00F130FB" w:rsidRPr="00877884" w:rsidRDefault="00F130FB" w:rsidP="000B603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14:paraId="71BABACA" w14:textId="77777777" w:rsidR="00F130FB" w:rsidRPr="00877884" w:rsidRDefault="00F130FB" w:rsidP="00F41177">
            <w:pPr>
              <w:rPr>
                <w:sz w:val="20"/>
                <w:szCs w:val="20"/>
              </w:rPr>
            </w:pPr>
          </w:p>
        </w:tc>
      </w:tr>
      <w:tr w:rsidR="00817283" w14:paraId="63CF3E6C" w14:textId="77777777">
        <w:tc>
          <w:tcPr>
            <w:tcW w:w="1570" w:type="dxa"/>
            <w:vMerge w:val="restart"/>
          </w:tcPr>
          <w:p w14:paraId="501C08DD" w14:textId="77777777" w:rsidR="00817283" w:rsidRDefault="00817283" w:rsidP="00A40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WQ </w:t>
            </w:r>
            <w:r w:rsidR="00615A2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tandards</w:t>
            </w:r>
          </w:p>
        </w:tc>
        <w:tc>
          <w:tcPr>
            <w:tcW w:w="4050" w:type="dxa"/>
          </w:tcPr>
          <w:p w14:paraId="5E8CE3F2" w14:textId="77777777" w:rsidR="00817283" w:rsidRPr="00877884" w:rsidRDefault="00817283" w:rsidP="0028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narrative standard on SL </w:t>
            </w:r>
          </w:p>
        </w:tc>
        <w:tc>
          <w:tcPr>
            <w:tcW w:w="4680" w:type="dxa"/>
          </w:tcPr>
          <w:p w14:paraId="5E1196B3" w14:textId="77777777" w:rsidR="00817283" w:rsidRPr="00877884" w:rsidRDefault="00817283" w:rsidP="0086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chlorophyll </w:t>
            </w:r>
            <w:r w:rsidRPr="00A402AF"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and narrative standard in SL</w:t>
            </w:r>
          </w:p>
        </w:tc>
      </w:tr>
      <w:tr w:rsidR="00817283" w14:paraId="5371333F" w14:textId="77777777">
        <w:tc>
          <w:tcPr>
            <w:tcW w:w="1570" w:type="dxa"/>
            <w:vMerge/>
          </w:tcPr>
          <w:p w14:paraId="209A9692" w14:textId="77777777" w:rsidR="00817283" w:rsidRDefault="00817283" w:rsidP="00384523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58F10A4" w14:textId="77777777" w:rsidR="00817283" w:rsidRPr="00817283" w:rsidRDefault="00817283" w:rsidP="00384523">
            <w:pPr>
              <w:rPr>
                <w:sz w:val="20"/>
                <w:szCs w:val="20"/>
              </w:rPr>
            </w:pPr>
            <w:r w:rsidRPr="00A402AF">
              <w:rPr>
                <w:sz w:val="20"/>
                <w:szCs w:val="20"/>
              </w:rPr>
              <w:t>Not addressed</w:t>
            </w:r>
          </w:p>
        </w:tc>
        <w:tc>
          <w:tcPr>
            <w:tcW w:w="4680" w:type="dxa"/>
          </w:tcPr>
          <w:p w14:paraId="3C7E46DC" w14:textId="77777777" w:rsidR="00817283" w:rsidRDefault="00817283" w:rsidP="0038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standards are exceeded, work with parties to evaluate possible sources</w:t>
            </w:r>
          </w:p>
        </w:tc>
      </w:tr>
      <w:tr w:rsidR="00817283" w14:paraId="1F645347" w14:textId="77777777">
        <w:tc>
          <w:tcPr>
            <w:tcW w:w="1570" w:type="dxa"/>
            <w:vMerge/>
          </w:tcPr>
          <w:p w14:paraId="38C7E31C" w14:textId="77777777" w:rsidR="00817283" w:rsidRDefault="00817283" w:rsidP="00817283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760803D" w14:textId="77777777" w:rsidR="00817283" w:rsidRPr="00817283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progress is not made in reducing nutrient loading to SL, the following options may be considered: (a) discharger effluent numeric nutrient standards, (b) additional BMPs in SL, and (c) adoption of a Control Regulation for SL</w:t>
            </w:r>
          </w:p>
        </w:tc>
        <w:tc>
          <w:tcPr>
            <w:tcW w:w="4680" w:type="dxa"/>
          </w:tcPr>
          <w:p w14:paraId="7C24808B" w14:textId="77777777" w:rsidR="00817283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Incorporates flexible adaptive management options and an iterative process to address water quality issues  </w:t>
            </w:r>
          </w:p>
        </w:tc>
      </w:tr>
      <w:tr w:rsidR="00817283" w14:paraId="59417DD3" w14:textId="77777777">
        <w:tc>
          <w:tcPr>
            <w:tcW w:w="1570" w:type="dxa"/>
          </w:tcPr>
          <w:p w14:paraId="66DB8B28" w14:textId="77777777" w:rsidR="00817283" w:rsidRDefault="00817283" w:rsidP="00A40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</w:t>
            </w:r>
          </w:p>
        </w:tc>
        <w:tc>
          <w:tcPr>
            <w:tcW w:w="4050" w:type="dxa"/>
          </w:tcPr>
          <w:p w14:paraId="0F76587F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CC and SL WQ monitoring program</w:t>
            </w:r>
          </w:p>
        </w:tc>
        <w:tc>
          <w:tcPr>
            <w:tcW w:w="4680" w:type="dxa"/>
          </w:tcPr>
          <w:p w14:paraId="4A2DC73E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WQ monitoring program</w:t>
            </w:r>
          </w:p>
        </w:tc>
      </w:tr>
      <w:tr w:rsidR="00817283" w14:paraId="23F102D8" w14:textId="77777777">
        <w:tc>
          <w:tcPr>
            <w:tcW w:w="1570" w:type="dxa"/>
          </w:tcPr>
          <w:p w14:paraId="4084DB7F" w14:textId="77777777" w:rsidR="00817283" w:rsidRDefault="00817283" w:rsidP="00A40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84773">
              <w:rPr>
                <w:sz w:val="20"/>
                <w:szCs w:val="20"/>
              </w:rPr>
              <w:t>est Management Practices</w:t>
            </w:r>
          </w:p>
        </w:tc>
        <w:tc>
          <w:tcPr>
            <w:tcW w:w="4050" w:type="dxa"/>
          </w:tcPr>
          <w:p w14:paraId="43E57ACB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voluntary BMPs in SL and Upper Basin</w:t>
            </w:r>
          </w:p>
        </w:tc>
        <w:tc>
          <w:tcPr>
            <w:tcW w:w="4680" w:type="dxa"/>
          </w:tcPr>
          <w:p w14:paraId="55A4878D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voluntary BMP program(s)</w:t>
            </w:r>
          </w:p>
        </w:tc>
      </w:tr>
      <w:tr w:rsidR="00817283" w14:paraId="0631E8A0" w14:textId="77777777">
        <w:tc>
          <w:tcPr>
            <w:tcW w:w="1570" w:type="dxa"/>
          </w:tcPr>
          <w:p w14:paraId="7006CB0B" w14:textId="77777777" w:rsidR="00817283" w:rsidRDefault="00817283" w:rsidP="00A40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  <w:p w14:paraId="4FA85623" w14:textId="77777777" w:rsidR="00817283" w:rsidRDefault="00817283" w:rsidP="00A40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</w:t>
            </w:r>
          </w:p>
        </w:tc>
        <w:tc>
          <w:tcPr>
            <w:tcW w:w="4050" w:type="dxa"/>
          </w:tcPr>
          <w:p w14:paraId="07FD6159" w14:textId="77777777" w:rsidR="00817283" w:rsidRPr="00A402AF" w:rsidRDefault="00817283" w:rsidP="00817283">
            <w:pPr>
              <w:rPr>
                <w:sz w:val="20"/>
                <w:szCs w:val="20"/>
              </w:rPr>
            </w:pPr>
            <w:r w:rsidRPr="00A402AF">
              <w:rPr>
                <w:sz w:val="20"/>
                <w:szCs w:val="20"/>
              </w:rPr>
              <w:t>Not addressed</w:t>
            </w:r>
          </w:p>
        </w:tc>
        <w:tc>
          <w:tcPr>
            <w:tcW w:w="4680" w:type="dxa"/>
          </w:tcPr>
          <w:p w14:paraId="1E8C44A3" w14:textId="77777777" w:rsidR="00817283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 maintain WQ in CC and SL to protect these resources for water supply, aquatic life, and recreational uses</w:t>
            </w:r>
          </w:p>
        </w:tc>
      </w:tr>
      <w:tr w:rsidR="00817283" w14:paraId="2555F25B" w14:textId="77777777">
        <w:tc>
          <w:tcPr>
            <w:tcW w:w="1570" w:type="dxa"/>
          </w:tcPr>
          <w:p w14:paraId="43B5F992" w14:textId="77777777" w:rsidR="00817283" w:rsidRDefault="00817283" w:rsidP="00A40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Cooperation</w:t>
            </w:r>
          </w:p>
        </w:tc>
        <w:tc>
          <w:tcPr>
            <w:tcW w:w="4050" w:type="dxa"/>
          </w:tcPr>
          <w:p w14:paraId="37343FC4" w14:textId="77777777" w:rsidR="00817283" w:rsidRPr="009F7F3A" w:rsidRDefault="00817283" w:rsidP="00817283">
            <w:pPr>
              <w:rPr>
                <w:sz w:val="20"/>
                <w:szCs w:val="20"/>
                <w:highlight w:val="yellow"/>
              </w:rPr>
            </w:pPr>
            <w:r w:rsidRPr="00A402AF">
              <w:rPr>
                <w:sz w:val="20"/>
                <w:szCs w:val="20"/>
              </w:rPr>
              <w:t xml:space="preserve"> Not addressed</w:t>
            </w:r>
          </w:p>
        </w:tc>
        <w:tc>
          <w:tcPr>
            <w:tcW w:w="4680" w:type="dxa"/>
          </w:tcPr>
          <w:p w14:paraId="6A7F00FE" w14:textId="77777777" w:rsidR="00817283" w:rsidRPr="00F130FB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Cooperate and communicate plans &amp; activities regarding (a) </w:t>
            </w:r>
            <w:r w:rsidRPr="00F130FB">
              <w:rPr>
                <w:sz w:val="20"/>
                <w:szCs w:val="20"/>
              </w:rPr>
              <w:t>WQ monitoring</w:t>
            </w:r>
            <w:r w:rsidR="00615A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(b) WQ policy, planning, and management</w:t>
            </w:r>
            <w:r w:rsidR="00615A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(c) BMPs</w:t>
            </w:r>
            <w:r w:rsidR="00615A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(d) funding WQ and watershed health related actions</w:t>
            </w:r>
          </w:p>
        </w:tc>
      </w:tr>
      <w:tr w:rsidR="00817283" w14:paraId="0FE985D6" w14:textId="77777777">
        <w:tc>
          <w:tcPr>
            <w:tcW w:w="1570" w:type="dxa"/>
            <w:shd w:val="clear" w:color="auto" w:fill="BFBFBF" w:themeFill="background1" w:themeFillShade="BF"/>
          </w:tcPr>
          <w:p w14:paraId="6D3F5DFB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3305469E" w14:textId="77777777" w:rsidR="00817283" w:rsidRPr="00877884" w:rsidRDefault="00817283" w:rsidP="0081728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14:paraId="6C72EC8B" w14:textId="77777777" w:rsidR="00817283" w:rsidRPr="00877884" w:rsidRDefault="00817283" w:rsidP="00817283">
            <w:pPr>
              <w:rPr>
                <w:sz w:val="20"/>
                <w:szCs w:val="20"/>
              </w:rPr>
            </w:pPr>
          </w:p>
        </w:tc>
      </w:tr>
      <w:tr w:rsidR="00817283" w14:paraId="149A19BD" w14:textId="77777777">
        <w:tc>
          <w:tcPr>
            <w:tcW w:w="1570" w:type="dxa"/>
          </w:tcPr>
          <w:p w14:paraId="0CC0279B" w14:textId="77777777" w:rsidR="00817283" w:rsidRPr="00877884" w:rsidRDefault="00817283" w:rsidP="008172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date</w:t>
            </w:r>
          </w:p>
        </w:tc>
        <w:tc>
          <w:tcPr>
            <w:tcW w:w="4050" w:type="dxa"/>
          </w:tcPr>
          <w:p w14:paraId="42BC1603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680" w:type="dxa"/>
          </w:tcPr>
          <w:p w14:paraId="44A54D7A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every 20 yrs unless terminated sooner</w:t>
            </w:r>
          </w:p>
        </w:tc>
      </w:tr>
      <w:tr w:rsidR="00817283" w14:paraId="46C7BDE7" w14:textId="77777777">
        <w:tc>
          <w:tcPr>
            <w:tcW w:w="1570" w:type="dxa"/>
          </w:tcPr>
          <w:p w14:paraId="76DA2805" w14:textId="77777777" w:rsidR="00817283" w:rsidRPr="00877884" w:rsidRDefault="00817283" w:rsidP="00655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date</w:t>
            </w:r>
          </w:p>
        </w:tc>
        <w:tc>
          <w:tcPr>
            <w:tcW w:w="4050" w:type="dxa"/>
          </w:tcPr>
          <w:p w14:paraId="2A3E4925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680" w:type="dxa"/>
          </w:tcPr>
          <w:p w14:paraId="3288D7B3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every 5 yrs at a minimum</w:t>
            </w:r>
          </w:p>
        </w:tc>
      </w:tr>
      <w:tr w:rsidR="00817283" w14:paraId="1408E8DE" w14:textId="77777777">
        <w:tc>
          <w:tcPr>
            <w:tcW w:w="1570" w:type="dxa"/>
            <w:shd w:val="clear" w:color="auto" w:fill="BFBFBF" w:themeFill="background1" w:themeFillShade="BF"/>
          </w:tcPr>
          <w:p w14:paraId="77CD1284" w14:textId="77777777" w:rsidR="00817283" w:rsidRPr="0096345C" w:rsidRDefault="00817283" w:rsidP="0081728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Guidance 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114C5CB9" w14:textId="77777777" w:rsidR="00817283" w:rsidRPr="00877884" w:rsidRDefault="00817283" w:rsidP="0081728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BFBFBF" w:themeFill="background1" w:themeFillShade="BF"/>
          </w:tcPr>
          <w:p w14:paraId="398DE7F8" w14:textId="77777777" w:rsidR="00817283" w:rsidRPr="00877884" w:rsidRDefault="00817283" w:rsidP="00817283">
            <w:pPr>
              <w:rPr>
                <w:sz w:val="20"/>
                <w:szCs w:val="20"/>
              </w:rPr>
            </w:pPr>
          </w:p>
        </w:tc>
      </w:tr>
      <w:tr w:rsidR="00817283" w14:paraId="383D63EE" w14:textId="77777777">
        <w:tc>
          <w:tcPr>
            <w:tcW w:w="1570" w:type="dxa"/>
          </w:tcPr>
          <w:p w14:paraId="34DA42F9" w14:textId="77777777" w:rsidR="00817283" w:rsidRPr="00877884" w:rsidRDefault="00817283" w:rsidP="00817283">
            <w:pPr>
              <w:jc w:val="right"/>
              <w:rPr>
                <w:sz w:val="20"/>
                <w:szCs w:val="20"/>
              </w:rPr>
            </w:pPr>
            <w:r w:rsidRPr="00B32DD2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date</w:t>
            </w:r>
          </w:p>
        </w:tc>
        <w:tc>
          <w:tcPr>
            <w:tcW w:w="4050" w:type="dxa"/>
          </w:tcPr>
          <w:p w14:paraId="34481862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680" w:type="dxa"/>
          </w:tcPr>
          <w:p w14:paraId="4CDC3DD8" w14:textId="77777777" w:rsidR="00817283" w:rsidRPr="00877884" w:rsidRDefault="00817283" w:rsidP="0081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- every 5 yrs at a minimum</w:t>
            </w:r>
          </w:p>
        </w:tc>
      </w:tr>
    </w:tbl>
    <w:p w14:paraId="262F80D9" w14:textId="77777777" w:rsidR="00B32DD2" w:rsidRDefault="00B32DD2" w:rsidP="00B32DD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32DD2">
        <w:rPr>
          <w:i/>
          <w:sz w:val="18"/>
          <w:szCs w:val="18"/>
          <w:u w:val="single"/>
        </w:rPr>
        <w:t>Cities of</w:t>
      </w:r>
      <w:r w:rsidRPr="00B32DD2">
        <w:rPr>
          <w:sz w:val="18"/>
          <w:szCs w:val="18"/>
        </w:rPr>
        <w:t xml:space="preserve">: Arvada, Golden, Westminster, Thornton, Northglenn, Idaho Springs, Blackhawk, Central  </w:t>
      </w:r>
      <w:r w:rsidRPr="00B32DD2">
        <w:rPr>
          <w:i/>
          <w:sz w:val="18"/>
          <w:szCs w:val="18"/>
          <w:u w:val="single"/>
        </w:rPr>
        <w:t xml:space="preserve">Towns of: </w:t>
      </w:r>
      <w:r w:rsidRPr="00B32DD2">
        <w:rPr>
          <w:sz w:val="18"/>
          <w:szCs w:val="18"/>
        </w:rPr>
        <w:t>Empire, Georgetown, Silver</w:t>
      </w:r>
      <w:r w:rsidR="00650CB4">
        <w:rPr>
          <w:sz w:val="18"/>
          <w:szCs w:val="18"/>
        </w:rPr>
        <w:t xml:space="preserve"> P</w:t>
      </w:r>
      <w:r w:rsidRPr="00B32DD2">
        <w:rPr>
          <w:sz w:val="18"/>
          <w:szCs w:val="18"/>
        </w:rPr>
        <w:t xml:space="preserve">lume  </w:t>
      </w:r>
      <w:r w:rsidRPr="00B32DD2">
        <w:rPr>
          <w:i/>
          <w:sz w:val="18"/>
          <w:szCs w:val="18"/>
          <w:u w:val="single"/>
        </w:rPr>
        <w:t xml:space="preserve">Counties of: </w:t>
      </w:r>
      <w:r w:rsidRPr="00B32DD2">
        <w:rPr>
          <w:sz w:val="18"/>
          <w:szCs w:val="18"/>
        </w:rPr>
        <w:t xml:space="preserve">Jefferson, Clear Creek, Gilpin  </w:t>
      </w:r>
      <w:r w:rsidRPr="00B32DD2">
        <w:rPr>
          <w:i/>
          <w:sz w:val="18"/>
          <w:szCs w:val="18"/>
          <w:u w:val="single"/>
        </w:rPr>
        <w:t xml:space="preserve">Ditch Companies:  </w:t>
      </w:r>
      <w:r w:rsidRPr="00B32DD2">
        <w:rPr>
          <w:sz w:val="18"/>
          <w:szCs w:val="18"/>
        </w:rPr>
        <w:t>Farmers</w:t>
      </w:r>
      <w:r w:rsidR="00650CB4">
        <w:rPr>
          <w:sz w:val="18"/>
          <w:szCs w:val="18"/>
        </w:rPr>
        <w:t>’</w:t>
      </w:r>
      <w:r w:rsidRPr="00B32DD2">
        <w:rPr>
          <w:sz w:val="18"/>
          <w:szCs w:val="18"/>
        </w:rPr>
        <w:t xml:space="preserve"> Highline Canal and Reservoir, Farmers Reservoir and Irrigation </w:t>
      </w:r>
      <w:r w:rsidRPr="00B32DD2">
        <w:rPr>
          <w:i/>
          <w:sz w:val="18"/>
          <w:szCs w:val="18"/>
          <w:u w:val="single"/>
        </w:rPr>
        <w:t>Private Companies/Districts/Other:</w:t>
      </w:r>
      <w:r w:rsidRPr="00B32DD2">
        <w:rPr>
          <w:sz w:val="18"/>
          <w:szCs w:val="18"/>
        </w:rPr>
        <w:t xml:space="preserve"> Jefferson Center Metropolitan District, Black Hawk/Central City Sanitation District, Central </w:t>
      </w:r>
      <w:r w:rsidRPr="00B32DD2">
        <w:rPr>
          <w:sz w:val="18"/>
          <w:szCs w:val="18"/>
        </w:rPr>
        <w:lastRenderedPageBreak/>
        <w:t xml:space="preserve">City Sanitation District, Alice/St. Mary’s Metropolitan District, Clear Creek Skiing Corporation, Henderson Mine, Upper Clear Creek Basin </w:t>
      </w:r>
      <w:r w:rsidR="0070519C">
        <w:rPr>
          <w:sz w:val="18"/>
          <w:szCs w:val="18"/>
        </w:rPr>
        <w:t>Association</w:t>
      </w:r>
    </w:p>
    <w:p w14:paraId="076EC114" w14:textId="77777777" w:rsidR="00E21869" w:rsidRDefault="00E21869" w:rsidP="00E21869">
      <w:pPr>
        <w:pStyle w:val="ListParagraph"/>
        <w:ind w:left="360"/>
      </w:pPr>
    </w:p>
    <w:p w14:paraId="3EF1D13E" w14:textId="77777777" w:rsidR="009A4766" w:rsidRDefault="009A4766" w:rsidP="009A4766">
      <w:pPr>
        <w:pStyle w:val="ListParagraph"/>
        <w:ind w:hanging="36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Why </w:t>
      </w:r>
      <w:r w:rsidR="002D12D6">
        <w:rPr>
          <w:color w:val="7030A0"/>
          <w:sz w:val="24"/>
          <w:szCs w:val="24"/>
        </w:rPr>
        <w:t>adopt the proposed</w:t>
      </w:r>
      <w:r>
        <w:rPr>
          <w:color w:val="7030A0"/>
          <w:sz w:val="24"/>
          <w:szCs w:val="24"/>
        </w:rPr>
        <w:t xml:space="preserve"> Agreement?</w:t>
      </w:r>
    </w:p>
    <w:p w14:paraId="5DF4FB1B" w14:textId="77777777" w:rsidR="00296073" w:rsidRDefault="008316A9" w:rsidP="008316A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02DB6">
        <w:rPr>
          <w:sz w:val="20"/>
          <w:szCs w:val="20"/>
        </w:rPr>
        <w:t xml:space="preserve">content of the </w:t>
      </w:r>
      <w:r>
        <w:rPr>
          <w:sz w:val="20"/>
          <w:szCs w:val="20"/>
        </w:rPr>
        <w:t>1993 Agreement is largely no longer relevant</w:t>
      </w:r>
      <w:r w:rsidR="00502DB6">
        <w:rPr>
          <w:sz w:val="20"/>
          <w:szCs w:val="20"/>
        </w:rPr>
        <w:t>,</w:t>
      </w:r>
      <w:r>
        <w:rPr>
          <w:sz w:val="20"/>
          <w:szCs w:val="20"/>
        </w:rPr>
        <w:t xml:space="preserve"> nor </w:t>
      </w:r>
      <w:r w:rsidR="00502DB6">
        <w:rPr>
          <w:sz w:val="20"/>
          <w:szCs w:val="20"/>
        </w:rPr>
        <w:t xml:space="preserve">is it </w:t>
      </w:r>
      <w:r>
        <w:rPr>
          <w:sz w:val="20"/>
          <w:szCs w:val="20"/>
        </w:rPr>
        <w:t xml:space="preserve">reflective of the cooperative spirit that </w:t>
      </w:r>
      <w:r w:rsidR="002A1492">
        <w:rPr>
          <w:sz w:val="20"/>
          <w:szCs w:val="20"/>
        </w:rPr>
        <w:t xml:space="preserve">currently exists between the </w:t>
      </w:r>
      <w:r w:rsidR="00615A21">
        <w:rPr>
          <w:sz w:val="20"/>
          <w:szCs w:val="20"/>
        </w:rPr>
        <w:t>SLC</w:t>
      </w:r>
      <w:r w:rsidR="002A1492">
        <w:rPr>
          <w:sz w:val="20"/>
          <w:szCs w:val="20"/>
        </w:rPr>
        <w:t xml:space="preserve"> and</w:t>
      </w:r>
      <w:r w:rsidR="004170D0">
        <w:rPr>
          <w:sz w:val="20"/>
          <w:szCs w:val="20"/>
        </w:rPr>
        <w:t xml:space="preserve"> </w:t>
      </w:r>
      <w:r w:rsidR="002A1492">
        <w:rPr>
          <w:sz w:val="20"/>
          <w:szCs w:val="20"/>
        </w:rPr>
        <w:t xml:space="preserve">the upper basin entities, a spirit that </w:t>
      </w:r>
      <w:r>
        <w:rPr>
          <w:sz w:val="20"/>
          <w:szCs w:val="20"/>
        </w:rPr>
        <w:t xml:space="preserve">is </w:t>
      </w:r>
      <w:r w:rsidR="00EF795E">
        <w:rPr>
          <w:sz w:val="20"/>
          <w:szCs w:val="20"/>
        </w:rPr>
        <w:t xml:space="preserve">beneficial for </w:t>
      </w:r>
      <w:r w:rsidR="00502DB6">
        <w:rPr>
          <w:sz w:val="20"/>
          <w:szCs w:val="20"/>
        </w:rPr>
        <w:t>advancing</w:t>
      </w:r>
      <w:r>
        <w:rPr>
          <w:sz w:val="20"/>
          <w:szCs w:val="20"/>
        </w:rPr>
        <w:t xml:space="preserve"> </w:t>
      </w:r>
      <w:r w:rsidR="00EF795E">
        <w:rPr>
          <w:sz w:val="20"/>
          <w:szCs w:val="20"/>
        </w:rPr>
        <w:t>c</w:t>
      </w:r>
      <w:r w:rsidR="00502DB6">
        <w:rPr>
          <w:sz w:val="20"/>
          <w:szCs w:val="20"/>
        </w:rPr>
        <w:t xml:space="preserve">omplex watershed management </w:t>
      </w:r>
      <w:r w:rsidR="00615A21">
        <w:rPr>
          <w:sz w:val="20"/>
          <w:szCs w:val="20"/>
        </w:rPr>
        <w:t>activities(?)</w:t>
      </w:r>
      <w:r w:rsidR="00EF795E">
        <w:rPr>
          <w:sz w:val="20"/>
          <w:szCs w:val="20"/>
        </w:rPr>
        <w:t>.</w:t>
      </w:r>
      <w:r>
        <w:rPr>
          <w:sz w:val="20"/>
          <w:szCs w:val="20"/>
        </w:rPr>
        <w:t xml:space="preserve">  The water quality regulatory world looks very different in 2015 than in 1993.  </w:t>
      </w:r>
      <w:r w:rsidR="00EF795E">
        <w:rPr>
          <w:sz w:val="20"/>
          <w:szCs w:val="20"/>
        </w:rPr>
        <w:t>Since 2012, n</w:t>
      </w:r>
      <w:r>
        <w:rPr>
          <w:sz w:val="20"/>
          <w:szCs w:val="20"/>
        </w:rPr>
        <w:t>utrients</w:t>
      </w:r>
      <w:r w:rsidR="00EF795E">
        <w:rPr>
          <w:sz w:val="20"/>
          <w:szCs w:val="20"/>
        </w:rPr>
        <w:t xml:space="preserve"> are regulated by the Colorado Water Quality </w:t>
      </w:r>
      <w:r>
        <w:rPr>
          <w:sz w:val="20"/>
          <w:szCs w:val="20"/>
        </w:rPr>
        <w:t>Regulation</w:t>
      </w:r>
      <w:r w:rsidR="00EF795E">
        <w:rPr>
          <w:sz w:val="20"/>
          <w:szCs w:val="20"/>
        </w:rPr>
        <w:t>s</w:t>
      </w:r>
      <w:r>
        <w:rPr>
          <w:sz w:val="20"/>
          <w:szCs w:val="20"/>
        </w:rPr>
        <w:t xml:space="preserve"> 85</w:t>
      </w:r>
      <w:r w:rsidR="00CD53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CD5392">
        <w:rPr>
          <w:sz w:val="20"/>
          <w:szCs w:val="20"/>
        </w:rPr>
        <w:t>31.  B</w:t>
      </w:r>
      <w:r w:rsidR="00502DB6">
        <w:rPr>
          <w:sz w:val="20"/>
          <w:szCs w:val="20"/>
        </w:rPr>
        <w:t xml:space="preserve">y 2022, </w:t>
      </w:r>
      <w:r>
        <w:rPr>
          <w:sz w:val="20"/>
          <w:szCs w:val="20"/>
        </w:rPr>
        <w:t>most streams and reservoirs/lakes in the state of Colorado will have nutrient standards</w:t>
      </w:r>
      <w:r w:rsidR="00EF795E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both phosphorus and nitrogen</w:t>
      </w:r>
      <w:r w:rsidR="00CD5392">
        <w:rPr>
          <w:sz w:val="20"/>
          <w:szCs w:val="20"/>
        </w:rPr>
        <w:t xml:space="preserve">. Regardless of whether an Agreement exists or not, nutrients will have to be addressed </w:t>
      </w:r>
      <w:r w:rsidR="00296073">
        <w:rPr>
          <w:sz w:val="20"/>
          <w:szCs w:val="20"/>
        </w:rPr>
        <w:t>with</w:t>
      </w:r>
      <w:r w:rsidR="00CD5392">
        <w:rPr>
          <w:sz w:val="20"/>
          <w:szCs w:val="20"/>
        </w:rPr>
        <w:t xml:space="preserve">in </w:t>
      </w:r>
      <w:r w:rsidR="00296073">
        <w:rPr>
          <w:sz w:val="20"/>
          <w:szCs w:val="20"/>
        </w:rPr>
        <w:t xml:space="preserve">the </w:t>
      </w:r>
      <w:r w:rsidR="00CD5392">
        <w:rPr>
          <w:sz w:val="20"/>
          <w:szCs w:val="20"/>
        </w:rPr>
        <w:t>watershed</w:t>
      </w:r>
      <w:r w:rsidR="0085733B">
        <w:rPr>
          <w:sz w:val="20"/>
          <w:szCs w:val="20"/>
        </w:rPr>
        <w:t xml:space="preserve">.  </w:t>
      </w:r>
    </w:p>
    <w:p w14:paraId="1A5234DF" w14:textId="77777777" w:rsidR="00296073" w:rsidRDefault="00296073" w:rsidP="008316A9">
      <w:pPr>
        <w:pStyle w:val="ListParagraph"/>
        <w:ind w:left="360"/>
        <w:rPr>
          <w:sz w:val="20"/>
          <w:szCs w:val="20"/>
        </w:rPr>
      </w:pPr>
    </w:p>
    <w:p w14:paraId="5EC2FE5D" w14:textId="77777777" w:rsidR="008316A9" w:rsidRDefault="00296073" w:rsidP="00E5555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There are non-regulatory advantages to adopting the proposed Agreement as well. </w:t>
      </w:r>
      <w:r w:rsidR="002A1492">
        <w:rPr>
          <w:sz w:val="20"/>
          <w:szCs w:val="20"/>
        </w:rPr>
        <w:t xml:space="preserve">The </w:t>
      </w:r>
      <w:r w:rsidR="00710968">
        <w:rPr>
          <w:sz w:val="20"/>
          <w:szCs w:val="20"/>
        </w:rPr>
        <w:t xml:space="preserve">punitive </w:t>
      </w:r>
      <w:r w:rsidR="002A1492">
        <w:rPr>
          <w:sz w:val="20"/>
          <w:szCs w:val="20"/>
        </w:rPr>
        <w:t xml:space="preserve">approach, prevalent in the 1993 Agreement, </w:t>
      </w:r>
      <w:r>
        <w:rPr>
          <w:sz w:val="20"/>
          <w:szCs w:val="20"/>
        </w:rPr>
        <w:t xml:space="preserve">is replaced with </w:t>
      </w:r>
      <w:r w:rsidR="002A1492">
        <w:rPr>
          <w:sz w:val="20"/>
          <w:szCs w:val="20"/>
        </w:rPr>
        <w:t xml:space="preserve">adaptive </w:t>
      </w:r>
      <w:r>
        <w:rPr>
          <w:sz w:val="20"/>
          <w:szCs w:val="20"/>
        </w:rPr>
        <w:t>management</w:t>
      </w:r>
      <w:r w:rsidR="002A149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This management style </w:t>
      </w:r>
      <w:r w:rsidR="00D00567">
        <w:rPr>
          <w:sz w:val="20"/>
          <w:szCs w:val="20"/>
        </w:rPr>
        <w:t xml:space="preserve">engages stakeholders to </w:t>
      </w:r>
      <w:r>
        <w:rPr>
          <w:sz w:val="20"/>
          <w:szCs w:val="20"/>
        </w:rPr>
        <w:t xml:space="preserve">maximize water quality results </w:t>
      </w:r>
      <w:r w:rsidR="00EF795E">
        <w:rPr>
          <w:sz w:val="20"/>
          <w:szCs w:val="20"/>
        </w:rPr>
        <w:t xml:space="preserve">through an iterative process </w:t>
      </w:r>
      <w:r>
        <w:rPr>
          <w:sz w:val="20"/>
          <w:szCs w:val="20"/>
        </w:rPr>
        <w:t xml:space="preserve">while </w:t>
      </w:r>
      <w:r w:rsidR="00D86FCD">
        <w:rPr>
          <w:sz w:val="20"/>
          <w:szCs w:val="20"/>
        </w:rPr>
        <w:t>maintaining flexibility to respond to changing conditions.</w:t>
      </w:r>
      <w:r>
        <w:rPr>
          <w:sz w:val="20"/>
          <w:szCs w:val="20"/>
        </w:rPr>
        <w:t xml:space="preserve">  The proposed Agreement es</w:t>
      </w:r>
      <w:r w:rsidR="004170D0">
        <w:rPr>
          <w:sz w:val="20"/>
          <w:szCs w:val="20"/>
        </w:rPr>
        <w:t>tablish</w:t>
      </w:r>
      <w:r w:rsidR="00CD5392">
        <w:rPr>
          <w:sz w:val="20"/>
          <w:szCs w:val="20"/>
        </w:rPr>
        <w:t>es</w:t>
      </w:r>
      <w:r w:rsidR="004170D0">
        <w:rPr>
          <w:sz w:val="20"/>
          <w:szCs w:val="20"/>
        </w:rPr>
        <w:t xml:space="preserve"> review and renewal timelines</w:t>
      </w:r>
      <w:r w:rsidR="00D00567">
        <w:rPr>
          <w:sz w:val="20"/>
          <w:szCs w:val="20"/>
        </w:rPr>
        <w:t xml:space="preserve"> that are</w:t>
      </w:r>
      <w:r w:rsidR="004170D0">
        <w:rPr>
          <w:sz w:val="20"/>
          <w:szCs w:val="20"/>
        </w:rPr>
        <w:t xml:space="preserve"> missing in the 1993 Agreement. </w:t>
      </w:r>
      <w:r w:rsidR="00E55559">
        <w:rPr>
          <w:sz w:val="20"/>
          <w:szCs w:val="20"/>
        </w:rPr>
        <w:t>Setting firm review timelines helps to ensure that the Agreement and g</w:t>
      </w:r>
      <w:r w:rsidR="007F0464">
        <w:rPr>
          <w:sz w:val="20"/>
          <w:szCs w:val="20"/>
        </w:rPr>
        <w:t xml:space="preserve">uidance document </w:t>
      </w:r>
      <w:r w:rsidR="00D00567">
        <w:rPr>
          <w:sz w:val="20"/>
          <w:szCs w:val="20"/>
        </w:rPr>
        <w:t>remain</w:t>
      </w:r>
      <w:r w:rsidR="007F0464">
        <w:rPr>
          <w:sz w:val="20"/>
          <w:szCs w:val="20"/>
        </w:rPr>
        <w:t xml:space="preserve"> relevant</w:t>
      </w:r>
      <w:r w:rsidR="00495F97">
        <w:rPr>
          <w:sz w:val="20"/>
          <w:szCs w:val="20"/>
        </w:rPr>
        <w:t xml:space="preserve"> and promote stakeholder </w:t>
      </w:r>
      <w:r w:rsidR="00710968">
        <w:rPr>
          <w:sz w:val="20"/>
          <w:szCs w:val="20"/>
        </w:rPr>
        <w:t xml:space="preserve">involvement in </w:t>
      </w:r>
      <w:r w:rsidR="00615A21">
        <w:rPr>
          <w:sz w:val="20"/>
          <w:szCs w:val="20"/>
        </w:rPr>
        <w:t xml:space="preserve">a </w:t>
      </w:r>
      <w:r w:rsidR="00710968">
        <w:rPr>
          <w:sz w:val="20"/>
          <w:szCs w:val="20"/>
        </w:rPr>
        <w:t xml:space="preserve">collaborative process.   </w:t>
      </w:r>
    </w:p>
    <w:p w14:paraId="79A52E31" w14:textId="77777777" w:rsidR="00A402AF" w:rsidRDefault="00A402AF" w:rsidP="00A402AF">
      <w:pPr>
        <w:pStyle w:val="ListParagraph"/>
        <w:spacing w:after="0"/>
        <w:ind w:left="270" w:firstLine="90"/>
        <w:jc w:val="both"/>
        <w:rPr>
          <w:color w:val="7030A0"/>
          <w:sz w:val="20"/>
          <w:szCs w:val="20"/>
        </w:rPr>
      </w:pPr>
    </w:p>
    <w:p w14:paraId="50EA0A08" w14:textId="77777777" w:rsidR="005323FF" w:rsidRDefault="005323FF">
      <w:r>
        <w:br w:type="page"/>
      </w:r>
    </w:p>
    <w:p w14:paraId="3D8FB50A" w14:textId="77777777" w:rsidR="005323FF" w:rsidRPr="00E21869" w:rsidRDefault="005323FF" w:rsidP="005323FF">
      <w:pPr>
        <w:pStyle w:val="ListParagraph"/>
        <w:spacing w:after="0"/>
        <w:ind w:left="270" w:firstLine="90"/>
        <w:jc w:val="both"/>
        <w:rPr>
          <w:color w:val="7030A0"/>
          <w:sz w:val="20"/>
          <w:szCs w:val="20"/>
        </w:rPr>
      </w:pPr>
      <w:r w:rsidRPr="00E21869">
        <w:rPr>
          <w:color w:val="7030A0"/>
          <w:sz w:val="20"/>
          <w:szCs w:val="20"/>
        </w:rPr>
        <w:lastRenderedPageBreak/>
        <w:t xml:space="preserve">Table </w:t>
      </w:r>
      <w:r>
        <w:rPr>
          <w:color w:val="7030A0"/>
          <w:sz w:val="20"/>
          <w:szCs w:val="20"/>
        </w:rPr>
        <w:t>2</w:t>
      </w:r>
      <w:r w:rsidRPr="00E21869">
        <w:rPr>
          <w:color w:val="7030A0"/>
          <w:sz w:val="20"/>
          <w:szCs w:val="20"/>
        </w:rPr>
        <w:t xml:space="preserve">. Comparison of </w:t>
      </w:r>
      <w:r>
        <w:rPr>
          <w:color w:val="7030A0"/>
          <w:sz w:val="20"/>
          <w:szCs w:val="20"/>
        </w:rPr>
        <w:t xml:space="preserve">watershed management options - </w:t>
      </w:r>
      <w:r w:rsidRPr="00E21869">
        <w:rPr>
          <w:color w:val="7030A0"/>
          <w:sz w:val="20"/>
          <w:szCs w:val="20"/>
        </w:rPr>
        <w:t>1993 Agreement and proposed</w:t>
      </w:r>
      <w:r>
        <w:rPr>
          <w:color w:val="7030A0"/>
          <w:sz w:val="20"/>
          <w:szCs w:val="20"/>
        </w:rPr>
        <w:t xml:space="preserve"> Agreement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2110"/>
        <w:gridCol w:w="3780"/>
        <w:gridCol w:w="4410"/>
      </w:tblGrid>
      <w:tr w:rsidR="005323FF" w14:paraId="7E177CA0" w14:textId="77777777">
        <w:tc>
          <w:tcPr>
            <w:tcW w:w="2110" w:type="dxa"/>
            <w:shd w:val="clear" w:color="auto" w:fill="2E74B5" w:themeFill="accent1" w:themeFillShade="BF"/>
          </w:tcPr>
          <w:p w14:paraId="4D211C32" w14:textId="77777777" w:rsidR="005323FF" w:rsidRPr="00AD2867" w:rsidRDefault="005323FF" w:rsidP="00276BFA">
            <w:pPr>
              <w:rPr>
                <w:color w:val="FFFFFF" w:themeColor="background1"/>
              </w:rPr>
            </w:pPr>
            <w:r w:rsidRPr="00AD2867">
              <w:rPr>
                <w:color w:val="FFFFFF" w:themeColor="background1"/>
              </w:rPr>
              <w:t>Attribute</w:t>
            </w:r>
          </w:p>
        </w:tc>
        <w:tc>
          <w:tcPr>
            <w:tcW w:w="3780" w:type="dxa"/>
            <w:shd w:val="clear" w:color="auto" w:fill="2E74B5" w:themeFill="accent1" w:themeFillShade="BF"/>
          </w:tcPr>
          <w:p w14:paraId="0A4382A8" w14:textId="77777777" w:rsidR="005323FF" w:rsidRPr="00AD2867" w:rsidRDefault="005323FF" w:rsidP="00276BFA">
            <w:pPr>
              <w:rPr>
                <w:color w:val="FFFFFF" w:themeColor="background1"/>
              </w:rPr>
            </w:pPr>
            <w:r w:rsidRPr="00AD2867">
              <w:rPr>
                <w:color w:val="FFFFFF" w:themeColor="background1"/>
              </w:rPr>
              <w:t>1993 Agreement</w:t>
            </w:r>
          </w:p>
        </w:tc>
        <w:tc>
          <w:tcPr>
            <w:tcW w:w="4410" w:type="dxa"/>
            <w:shd w:val="clear" w:color="auto" w:fill="2E74B5" w:themeFill="accent1" w:themeFillShade="BF"/>
          </w:tcPr>
          <w:p w14:paraId="5AF82E5D" w14:textId="77777777" w:rsidR="005323FF" w:rsidRPr="00AD2867" w:rsidRDefault="005323FF" w:rsidP="00276BF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Proposed</w:t>
            </w:r>
            <w:r w:rsidRPr="00AD2867">
              <w:rPr>
                <w:color w:val="FFFFFF" w:themeColor="background1"/>
              </w:rPr>
              <w:t xml:space="preserve"> Agreement</w:t>
            </w:r>
          </w:p>
        </w:tc>
      </w:tr>
      <w:tr w:rsidR="005323FF" w14:paraId="1D480D59" w14:textId="77777777">
        <w:tc>
          <w:tcPr>
            <w:tcW w:w="2110" w:type="dxa"/>
          </w:tcPr>
          <w:p w14:paraId="6614F3F8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Monitoring</w:t>
            </w:r>
          </w:p>
        </w:tc>
        <w:tc>
          <w:tcPr>
            <w:tcW w:w="3780" w:type="dxa"/>
          </w:tcPr>
          <w:p w14:paraId="4CE05606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Required</w:t>
            </w:r>
          </w:p>
        </w:tc>
        <w:tc>
          <w:tcPr>
            <w:tcW w:w="4410" w:type="dxa"/>
          </w:tcPr>
          <w:p w14:paraId="5550F15B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Required</w:t>
            </w:r>
          </w:p>
        </w:tc>
      </w:tr>
      <w:tr w:rsidR="005323FF" w14:paraId="74C98050" w14:textId="77777777">
        <w:tc>
          <w:tcPr>
            <w:tcW w:w="2110" w:type="dxa"/>
          </w:tcPr>
          <w:p w14:paraId="7034C846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Reporting to WQCC</w:t>
            </w:r>
          </w:p>
        </w:tc>
        <w:tc>
          <w:tcPr>
            <w:tcW w:w="3780" w:type="dxa"/>
          </w:tcPr>
          <w:p w14:paraId="33F4276E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Required</w:t>
            </w:r>
          </w:p>
        </w:tc>
        <w:tc>
          <w:tcPr>
            <w:tcW w:w="4410" w:type="dxa"/>
          </w:tcPr>
          <w:p w14:paraId="3899867F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Required</w:t>
            </w:r>
          </w:p>
        </w:tc>
      </w:tr>
      <w:tr w:rsidR="005323FF" w14:paraId="0309E572" w14:textId="77777777">
        <w:tc>
          <w:tcPr>
            <w:tcW w:w="2110" w:type="dxa"/>
          </w:tcPr>
          <w:p w14:paraId="714C7685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Resources Protected</w:t>
            </w:r>
          </w:p>
        </w:tc>
        <w:tc>
          <w:tcPr>
            <w:tcW w:w="3780" w:type="dxa"/>
          </w:tcPr>
          <w:p w14:paraId="1D6BB717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Water Supply in Standley Lake</w:t>
            </w:r>
          </w:p>
        </w:tc>
        <w:tc>
          <w:tcPr>
            <w:tcW w:w="4410" w:type="dxa"/>
          </w:tcPr>
          <w:p w14:paraId="485BC10D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Water Supply in Standley Lake and Clear Creek, Recreation, Aquatic Life</w:t>
            </w:r>
          </w:p>
        </w:tc>
      </w:tr>
      <w:tr w:rsidR="005323FF" w:rsidRPr="00877884" w14:paraId="29492044" w14:textId="77777777">
        <w:tc>
          <w:tcPr>
            <w:tcW w:w="2110" w:type="dxa"/>
            <w:shd w:val="clear" w:color="auto" w:fill="BFBFBF" w:themeFill="background1" w:themeFillShade="BF"/>
          </w:tcPr>
          <w:p w14:paraId="2DB3F219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Flexibility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6B5B7EF3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30222744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</w:tr>
      <w:tr w:rsidR="005323FF" w14:paraId="6E17E540" w14:textId="77777777">
        <w:tc>
          <w:tcPr>
            <w:tcW w:w="2110" w:type="dxa"/>
          </w:tcPr>
          <w:p w14:paraId="75678BE5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06EBD11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addressed</w:t>
            </w:r>
          </w:p>
        </w:tc>
        <w:tc>
          <w:tcPr>
            <w:tcW w:w="4410" w:type="dxa"/>
          </w:tcPr>
          <w:p w14:paraId="5357E5CE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development of and promote use of creative and flexible tools aimed at minimizing water quality degradation and/or improving water quality and watershed health</w:t>
            </w:r>
          </w:p>
        </w:tc>
      </w:tr>
      <w:tr w:rsidR="005323FF" w14:paraId="4C33770E" w14:textId="77777777">
        <w:tc>
          <w:tcPr>
            <w:tcW w:w="2110" w:type="dxa"/>
            <w:shd w:val="clear" w:color="auto" w:fill="BFBFBF" w:themeFill="background1" w:themeFillShade="BF"/>
          </w:tcPr>
          <w:p w14:paraId="25C2CB27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 xml:space="preserve">Stakeholder </w:t>
            </w:r>
            <w:r>
              <w:rPr>
                <w:sz w:val="20"/>
                <w:szCs w:val="20"/>
              </w:rPr>
              <w:t>P</w:t>
            </w:r>
            <w:r w:rsidRPr="00C20A18">
              <w:rPr>
                <w:sz w:val="20"/>
                <w:szCs w:val="20"/>
              </w:rPr>
              <w:t>rocess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3CF8573B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1E3757E4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</w:tr>
      <w:tr w:rsidR="005323FF" w14:paraId="66125C2D" w14:textId="77777777">
        <w:tc>
          <w:tcPr>
            <w:tcW w:w="2110" w:type="dxa"/>
          </w:tcPr>
          <w:p w14:paraId="6D6B3AE3" w14:textId="77777777" w:rsidR="005323FF" w:rsidRPr="00C20A18" w:rsidRDefault="005323FF" w:rsidP="00276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5BEF865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Review and renewal timelines not set</w:t>
            </w:r>
          </w:p>
        </w:tc>
        <w:tc>
          <w:tcPr>
            <w:tcW w:w="4410" w:type="dxa"/>
          </w:tcPr>
          <w:p w14:paraId="4A4C241D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Review and renewal timelines set for both Agreement and guidance</w:t>
            </w:r>
          </w:p>
        </w:tc>
      </w:tr>
      <w:tr w:rsidR="005323FF" w14:paraId="54653373" w14:textId="77777777">
        <w:tc>
          <w:tcPr>
            <w:tcW w:w="2110" w:type="dxa"/>
            <w:shd w:val="clear" w:color="auto" w:fill="BFBFBF" w:themeFill="background1" w:themeFillShade="BF"/>
          </w:tcPr>
          <w:p w14:paraId="69671CE9" w14:textId="77777777" w:rsidR="005323FF" w:rsidRPr="00C20A18" w:rsidRDefault="005323FF" w:rsidP="00276BFA">
            <w:pPr>
              <w:rPr>
                <w:sz w:val="20"/>
                <w:szCs w:val="20"/>
                <w:highlight w:val="lightGray"/>
              </w:rPr>
            </w:pPr>
            <w:r w:rsidRPr="00C20A18">
              <w:rPr>
                <w:sz w:val="20"/>
                <w:szCs w:val="20"/>
                <w:highlight w:val="lightGray"/>
              </w:rPr>
              <w:t>Proactive/Relevance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33CD0C6F" w14:textId="77777777" w:rsidR="005323FF" w:rsidRPr="00C20A18" w:rsidRDefault="005323FF" w:rsidP="00276BF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5C62C67B" w14:textId="77777777" w:rsidR="005323FF" w:rsidRPr="00C20A18" w:rsidRDefault="005323FF" w:rsidP="00276BFA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5323FF" w14:paraId="53E33E0B" w14:textId="77777777">
        <w:tc>
          <w:tcPr>
            <w:tcW w:w="2110" w:type="dxa"/>
          </w:tcPr>
          <w:p w14:paraId="4973A9A7" w14:textId="77777777" w:rsidR="005323FF" w:rsidRPr="00C20A18" w:rsidRDefault="005323FF" w:rsidP="00276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5405491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Most of the activities outlined have been completed: BMP Manual written, costs and effects of nutrient removal evaluated, develop</w:t>
            </w:r>
            <w:r>
              <w:rPr>
                <w:sz w:val="20"/>
                <w:szCs w:val="20"/>
              </w:rPr>
              <w:t>ed</w:t>
            </w:r>
            <w:r w:rsidRPr="00C20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</w:t>
            </w:r>
            <w:r w:rsidRPr="00C20A18">
              <w:rPr>
                <w:sz w:val="20"/>
                <w:szCs w:val="20"/>
              </w:rPr>
              <w:t xml:space="preserve"> Management Plan.  Additional actions have been taken on a voluntary basis.</w:t>
            </w:r>
          </w:p>
        </w:tc>
        <w:tc>
          <w:tcPr>
            <w:tcW w:w="4410" w:type="dxa"/>
          </w:tcPr>
          <w:p w14:paraId="3FF923E7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Parties to evaluate possible nutrient sources and alternative control options when annual chl</w:t>
            </w:r>
            <w:r>
              <w:rPr>
                <w:sz w:val="20"/>
                <w:szCs w:val="20"/>
              </w:rPr>
              <w:t>-</w:t>
            </w:r>
            <w:r w:rsidRPr="00C20A18">
              <w:rPr>
                <w:sz w:val="20"/>
                <w:szCs w:val="20"/>
              </w:rPr>
              <w:t>a average approaches standard</w:t>
            </w:r>
            <w:r>
              <w:rPr>
                <w:sz w:val="20"/>
                <w:szCs w:val="20"/>
              </w:rPr>
              <w:t>. Parties shall notify each other, consult, and have an opportunity to cooperate on any water quality concern before any party approaches the WQCC.</w:t>
            </w:r>
          </w:p>
        </w:tc>
      </w:tr>
      <w:tr w:rsidR="005323FF" w14:paraId="1A7EADA3" w14:textId="77777777">
        <w:tc>
          <w:tcPr>
            <w:tcW w:w="2110" w:type="dxa"/>
          </w:tcPr>
          <w:p w14:paraId="4FCFFFC4" w14:textId="77777777" w:rsidR="005323FF" w:rsidRPr="00C20A18" w:rsidRDefault="005323FF" w:rsidP="00276BFA">
            <w:pPr>
              <w:jc w:val="right"/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WQ Policy, Planning &amp; Management</w:t>
            </w:r>
          </w:p>
        </w:tc>
        <w:tc>
          <w:tcPr>
            <w:tcW w:w="3780" w:type="dxa"/>
          </w:tcPr>
          <w:p w14:paraId="7993DEE3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Not addressed</w:t>
            </w:r>
          </w:p>
        </w:tc>
        <w:tc>
          <w:tcPr>
            <w:tcW w:w="4410" w:type="dxa"/>
          </w:tcPr>
          <w:p w14:paraId="38DA9EC1" w14:textId="77777777" w:rsidR="005323FF" w:rsidRPr="00C20A18" w:rsidRDefault="005323FF" w:rsidP="00276BFA">
            <w:pPr>
              <w:pStyle w:val="ListParagraph"/>
              <w:ind w:left="0"/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Reference and support:</w:t>
            </w:r>
          </w:p>
          <w:p w14:paraId="3609285B" w14:textId="77777777" w:rsidR="005323FF" w:rsidRPr="00C20A18" w:rsidRDefault="005323FF" w:rsidP="005323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SWPP or similar plan implemented by local or regional governmental agencies</w:t>
            </w:r>
          </w:p>
          <w:p w14:paraId="185E0786" w14:textId="77777777" w:rsidR="005323FF" w:rsidRPr="00C20A18" w:rsidRDefault="005323FF" w:rsidP="005323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Wildfire Plans</w:t>
            </w:r>
          </w:p>
          <w:p w14:paraId="6A5358B3" w14:textId="77777777" w:rsidR="005323FF" w:rsidRPr="00C20A18" w:rsidRDefault="005323FF" w:rsidP="005323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SWEEP and SCAP plans</w:t>
            </w:r>
          </w:p>
        </w:tc>
      </w:tr>
      <w:tr w:rsidR="005323FF" w14:paraId="1850A81E" w14:textId="77777777">
        <w:tc>
          <w:tcPr>
            <w:tcW w:w="2110" w:type="dxa"/>
          </w:tcPr>
          <w:p w14:paraId="08D7FB31" w14:textId="77777777" w:rsidR="005323FF" w:rsidRPr="00C20A18" w:rsidRDefault="005323FF" w:rsidP="00276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0CC4A62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84E8BAA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Consider and support creative and flexible ways to address water quality, watershed health, and wastewater operations in the watershed such as nutrient trading, WWTP optimization, and pilot projects</w:t>
            </w:r>
          </w:p>
        </w:tc>
      </w:tr>
      <w:tr w:rsidR="005323FF" w14:paraId="486ECA76" w14:textId="77777777">
        <w:tc>
          <w:tcPr>
            <w:tcW w:w="2110" w:type="dxa"/>
            <w:shd w:val="clear" w:color="auto" w:fill="BFBFBF" w:themeFill="background1" w:themeFillShade="BF"/>
          </w:tcPr>
          <w:p w14:paraId="694E3294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General Provisions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77F753FE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665E3D9E" w14:textId="77777777" w:rsidR="005323FF" w:rsidRPr="00C20A18" w:rsidRDefault="005323FF" w:rsidP="00276BFA">
            <w:pPr>
              <w:rPr>
                <w:sz w:val="20"/>
                <w:szCs w:val="20"/>
              </w:rPr>
            </w:pPr>
          </w:p>
        </w:tc>
      </w:tr>
      <w:tr w:rsidR="005323FF" w14:paraId="39A12EA6" w14:textId="77777777">
        <w:tc>
          <w:tcPr>
            <w:tcW w:w="2110" w:type="dxa"/>
          </w:tcPr>
          <w:p w14:paraId="5D59F891" w14:textId="77777777" w:rsidR="005323FF" w:rsidRPr="00C20A18" w:rsidRDefault="005323FF" w:rsidP="00276BFA">
            <w:pPr>
              <w:jc w:val="right"/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Fiscal Provisions</w:t>
            </w:r>
          </w:p>
        </w:tc>
        <w:tc>
          <w:tcPr>
            <w:tcW w:w="3780" w:type="dxa"/>
          </w:tcPr>
          <w:p w14:paraId="5FA1BB80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Subject to annual appropriation, not a multiple year direct or indirect obligation</w:t>
            </w:r>
          </w:p>
        </w:tc>
        <w:tc>
          <w:tcPr>
            <w:tcW w:w="4410" w:type="dxa"/>
          </w:tcPr>
          <w:p w14:paraId="5AA2FBC2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Same as 1993 Agreement</w:t>
            </w:r>
          </w:p>
        </w:tc>
      </w:tr>
      <w:tr w:rsidR="005323FF" w14:paraId="57951FE6" w14:textId="77777777">
        <w:tc>
          <w:tcPr>
            <w:tcW w:w="2110" w:type="dxa"/>
          </w:tcPr>
          <w:p w14:paraId="778762BA" w14:textId="77777777" w:rsidR="005323FF" w:rsidRPr="00C20A18" w:rsidRDefault="005323FF" w:rsidP="00276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FE38444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Definition of support not provided.   Support of monitoring program is called out.</w:t>
            </w:r>
          </w:p>
        </w:tc>
        <w:tc>
          <w:tcPr>
            <w:tcW w:w="4410" w:type="dxa"/>
          </w:tcPr>
          <w:p w14:paraId="7655E091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Definition of support</w:t>
            </w:r>
            <w:r>
              <w:rPr>
                <w:sz w:val="20"/>
                <w:szCs w:val="20"/>
              </w:rPr>
              <w:t>:</w:t>
            </w:r>
            <w:r w:rsidRPr="00C20A18">
              <w:rPr>
                <w:sz w:val="20"/>
                <w:szCs w:val="20"/>
              </w:rPr>
              <w:t xml:space="preserve"> (1) monetary contributions and/or in-kind services</w:t>
            </w:r>
            <w:r>
              <w:rPr>
                <w:sz w:val="20"/>
                <w:szCs w:val="20"/>
              </w:rPr>
              <w:t>,</w:t>
            </w:r>
            <w:r w:rsidRPr="00C20A18">
              <w:rPr>
                <w:sz w:val="20"/>
                <w:szCs w:val="20"/>
              </w:rPr>
              <w:t xml:space="preserve"> (2) cooperate to seek funding sources</w:t>
            </w:r>
            <w:r>
              <w:rPr>
                <w:sz w:val="20"/>
                <w:szCs w:val="20"/>
              </w:rPr>
              <w:t>,</w:t>
            </w:r>
            <w:r w:rsidRPr="00C20A18">
              <w:rPr>
                <w:sz w:val="20"/>
                <w:szCs w:val="20"/>
              </w:rPr>
              <w:t xml:space="preserve"> (3) provide statements of support</w:t>
            </w:r>
          </w:p>
        </w:tc>
      </w:tr>
      <w:tr w:rsidR="005323FF" w:rsidRPr="00615A21" w14:paraId="581924B8" w14:textId="77777777">
        <w:tc>
          <w:tcPr>
            <w:tcW w:w="2110" w:type="dxa"/>
          </w:tcPr>
          <w:p w14:paraId="0EF592E6" w14:textId="77777777" w:rsidR="005323FF" w:rsidRPr="00C20A18" w:rsidRDefault="005323FF" w:rsidP="00276BFA">
            <w:pPr>
              <w:jc w:val="right"/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Withdrawal</w:t>
            </w:r>
          </w:p>
        </w:tc>
        <w:tc>
          <w:tcPr>
            <w:tcW w:w="3780" w:type="dxa"/>
          </w:tcPr>
          <w:p w14:paraId="7E113AF2" w14:textId="77777777" w:rsidR="005323FF" w:rsidRPr="00655A32" w:rsidRDefault="005323FF" w:rsidP="00276B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A32">
              <w:rPr>
                <w:sz w:val="20"/>
                <w:szCs w:val="20"/>
              </w:rPr>
              <w:t>Should the WQCC fail to approve and adopt the substance of the proposed alternative</w:t>
            </w:r>
          </w:p>
          <w:p w14:paraId="760F5B5C" w14:textId="77777777" w:rsidR="005323FF" w:rsidRPr="00C20A18" w:rsidRDefault="005323FF" w:rsidP="00276B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A32">
              <w:rPr>
                <w:sz w:val="20"/>
                <w:szCs w:val="20"/>
              </w:rPr>
              <w:t>described in paragraphs 1.a. and 1.b., th</w:t>
            </w:r>
            <w:r>
              <w:rPr>
                <w:sz w:val="20"/>
                <w:szCs w:val="20"/>
              </w:rPr>
              <w:t>e</w:t>
            </w:r>
            <w:r w:rsidRPr="00655A32">
              <w:rPr>
                <w:sz w:val="20"/>
                <w:szCs w:val="20"/>
              </w:rPr>
              <w:t xml:space="preserve"> agreement-shall automatically terminate and the parties shall be released from all other obligations and rights hereunder.</w:t>
            </w:r>
          </w:p>
        </w:tc>
        <w:tc>
          <w:tcPr>
            <w:tcW w:w="4410" w:type="dxa"/>
          </w:tcPr>
          <w:p w14:paraId="4630C598" w14:textId="77777777" w:rsidR="005323FF" w:rsidRPr="00C20A18" w:rsidRDefault="005323FF" w:rsidP="00276BFA">
            <w:pPr>
              <w:rPr>
                <w:sz w:val="20"/>
                <w:szCs w:val="20"/>
              </w:rPr>
            </w:pPr>
            <w:r w:rsidRPr="00C20A18">
              <w:rPr>
                <w:sz w:val="20"/>
                <w:szCs w:val="20"/>
              </w:rPr>
              <w:t>90 days written notice</w:t>
            </w:r>
          </w:p>
        </w:tc>
      </w:tr>
    </w:tbl>
    <w:p w14:paraId="57A29224" w14:textId="77777777" w:rsidR="00A402AF" w:rsidRDefault="00A402AF" w:rsidP="00A402AF">
      <w:pPr>
        <w:pStyle w:val="ListParagraph"/>
        <w:ind w:left="360"/>
      </w:pPr>
    </w:p>
    <w:p w14:paraId="12CD4D1E" w14:textId="77777777" w:rsidR="00A402AF" w:rsidRPr="00E55559" w:rsidRDefault="00A402AF" w:rsidP="00E55559">
      <w:pPr>
        <w:pStyle w:val="ListParagraph"/>
        <w:ind w:left="360"/>
        <w:rPr>
          <w:sz w:val="20"/>
          <w:szCs w:val="20"/>
        </w:rPr>
      </w:pPr>
    </w:p>
    <w:p w14:paraId="691429CC" w14:textId="77777777" w:rsidR="00316FEE" w:rsidRDefault="009A4766" w:rsidP="00316FEE">
      <w:pPr>
        <w:pStyle w:val="ListParagraph"/>
        <w:ind w:left="270" w:firstLine="9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</w:p>
    <w:p w14:paraId="45947643" w14:textId="77777777" w:rsidR="00316FEE" w:rsidRPr="00E21869" w:rsidRDefault="00316FEE" w:rsidP="00A9485A">
      <w:pPr>
        <w:pStyle w:val="ListParagraph"/>
        <w:spacing w:after="0"/>
        <w:ind w:left="270" w:firstLine="90"/>
        <w:jc w:val="both"/>
        <w:rPr>
          <w:color w:val="7030A0"/>
          <w:sz w:val="20"/>
          <w:szCs w:val="20"/>
        </w:rPr>
      </w:pPr>
    </w:p>
    <w:p w14:paraId="6B89CB8B" w14:textId="77777777" w:rsidR="009A4766" w:rsidRDefault="009A4766" w:rsidP="00E21869">
      <w:pPr>
        <w:pStyle w:val="ListParagraph"/>
        <w:ind w:left="360"/>
      </w:pPr>
    </w:p>
    <w:p w14:paraId="20528038" w14:textId="77777777" w:rsidR="00E21869" w:rsidRPr="00E21869" w:rsidRDefault="00E21869" w:rsidP="00E21869">
      <w:pPr>
        <w:pStyle w:val="ListParagraph"/>
        <w:ind w:left="360"/>
      </w:pPr>
    </w:p>
    <w:sectPr w:rsidR="00E21869" w:rsidRPr="00E21869" w:rsidSect="00FC2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2"/>
    <w:multiLevelType w:val="hybridMultilevel"/>
    <w:tmpl w:val="B36A6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E50FD8"/>
    <w:multiLevelType w:val="hybridMultilevel"/>
    <w:tmpl w:val="24E2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2A01"/>
    <w:multiLevelType w:val="hybridMultilevel"/>
    <w:tmpl w:val="33F2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57F"/>
    <w:multiLevelType w:val="hybridMultilevel"/>
    <w:tmpl w:val="BF2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21D09"/>
    <w:multiLevelType w:val="hybridMultilevel"/>
    <w:tmpl w:val="2D5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7"/>
    <w:rsid w:val="00004604"/>
    <w:rsid w:val="00036D3D"/>
    <w:rsid w:val="000B2AAB"/>
    <w:rsid w:val="000B603F"/>
    <w:rsid w:val="000D5AA3"/>
    <w:rsid w:val="000E7593"/>
    <w:rsid w:val="000F1C83"/>
    <w:rsid w:val="001420E1"/>
    <w:rsid w:val="0014652B"/>
    <w:rsid w:val="00162AA8"/>
    <w:rsid w:val="001949F3"/>
    <w:rsid w:val="001D5E67"/>
    <w:rsid w:val="002221D0"/>
    <w:rsid w:val="00263A15"/>
    <w:rsid w:val="00285EDC"/>
    <w:rsid w:val="00296073"/>
    <w:rsid w:val="002A1492"/>
    <w:rsid w:val="002D12D6"/>
    <w:rsid w:val="00316FEE"/>
    <w:rsid w:val="003210C0"/>
    <w:rsid w:val="00384523"/>
    <w:rsid w:val="00397D83"/>
    <w:rsid w:val="003A557C"/>
    <w:rsid w:val="003A7A52"/>
    <w:rsid w:val="004170D0"/>
    <w:rsid w:val="00455259"/>
    <w:rsid w:val="00484773"/>
    <w:rsid w:val="00495F97"/>
    <w:rsid w:val="004C5821"/>
    <w:rsid w:val="00502DB6"/>
    <w:rsid w:val="005323FF"/>
    <w:rsid w:val="00537EC9"/>
    <w:rsid w:val="00541F08"/>
    <w:rsid w:val="00542AF1"/>
    <w:rsid w:val="00550503"/>
    <w:rsid w:val="005A1EFA"/>
    <w:rsid w:val="005B3335"/>
    <w:rsid w:val="005D2D82"/>
    <w:rsid w:val="006006F2"/>
    <w:rsid w:val="00615A21"/>
    <w:rsid w:val="00650CB4"/>
    <w:rsid w:val="00655A32"/>
    <w:rsid w:val="0068643E"/>
    <w:rsid w:val="006A12A9"/>
    <w:rsid w:val="006A65CF"/>
    <w:rsid w:val="0070113E"/>
    <w:rsid w:val="0070519C"/>
    <w:rsid w:val="00710968"/>
    <w:rsid w:val="00725E29"/>
    <w:rsid w:val="00735651"/>
    <w:rsid w:val="00771FA8"/>
    <w:rsid w:val="00795E01"/>
    <w:rsid w:val="007A0438"/>
    <w:rsid w:val="007C4315"/>
    <w:rsid w:val="007D76C6"/>
    <w:rsid w:val="007F0464"/>
    <w:rsid w:val="00807A46"/>
    <w:rsid w:val="00817283"/>
    <w:rsid w:val="008316A9"/>
    <w:rsid w:val="0085733B"/>
    <w:rsid w:val="00867861"/>
    <w:rsid w:val="00877884"/>
    <w:rsid w:val="00886672"/>
    <w:rsid w:val="008C4BB7"/>
    <w:rsid w:val="008E54F8"/>
    <w:rsid w:val="0096345C"/>
    <w:rsid w:val="009827E7"/>
    <w:rsid w:val="009A4766"/>
    <w:rsid w:val="009C4EC1"/>
    <w:rsid w:val="009F7F3A"/>
    <w:rsid w:val="00A24053"/>
    <w:rsid w:val="00A359BD"/>
    <w:rsid w:val="00A402AF"/>
    <w:rsid w:val="00A45530"/>
    <w:rsid w:val="00A854C1"/>
    <w:rsid w:val="00A9485A"/>
    <w:rsid w:val="00AA3272"/>
    <w:rsid w:val="00AD2867"/>
    <w:rsid w:val="00AE4F00"/>
    <w:rsid w:val="00B00999"/>
    <w:rsid w:val="00B1270F"/>
    <w:rsid w:val="00B24B03"/>
    <w:rsid w:val="00B31F89"/>
    <w:rsid w:val="00B32DD2"/>
    <w:rsid w:val="00B34B2D"/>
    <w:rsid w:val="00C109D8"/>
    <w:rsid w:val="00C20A18"/>
    <w:rsid w:val="00C348F1"/>
    <w:rsid w:val="00C75A03"/>
    <w:rsid w:val="00CD0381"/>
    <w:rsid w:val="00CD5392"/>
    <w:rsid w:val="00D00567"/>
    <w:rsid w:val="00D41472"/>
    <w:rsid w:val="00D81EBC"/>
    <w:rsid w:val="00D84864"/>
    <w:rsid w:val="00D8542D"/>
    <w:rsid w:val="00D86FCD"/>
    <w:rsid w:val="00D979BE"/>
    <w:rsid w:val="00DE6244"/>
    <w:rsid w:val="00E1654D"/>
    <w:rsid w:val="00E21869"/>
    <w:rsid w:val="00E43B7F"/>
    <w:rsid w:val="00E46D08"/>
    <w:rsid w:val="00E55559"/>
    <w:rsid w:val="00E7704C"/>
    <w:rsid w:val="00EC5AD2"/>
    <w:rsid w:val="00EC5CB4"/>
    <w:rsid w:val="00EF795E"/>
    <w:rsid w:val="00F130FB"/>
    <w:rsid w:val="00F2397A"/>
    <w:rsid w:val="00F41177"/>
    <w:rsid w:val="00FC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B5096A"/>
  <w15:docId w15:val="{93B7DDFB-08F1-46D3-81BB-591A255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B7"/>
    <w:pPr>
      <w:ind w:left="720"/>
      <w:contextualSpacing/>
    </w:pPr>
  </w:style>
  <w:style w:type="table" w:styleId="TableGrid">
    <w:name w:val="Table Grid"/>
    <w:basedOn w:val="TableNormal"/>
    <w:uiPriority w:val="39"/>
    <w:rsid w:val="0080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0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6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8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A51E-3D78-4A66-AFA1-86796BDD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Northglenn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Sstanley</dc:creator>
  <cp:keywords/>
  <dc:description/>
  <cp:lastModifiedBy>Diane Kielty</cp:lastModifiedBy>
  <cp:revision>2</cp:revision>
  <cp:lastPrinted>2015-12-08T20:24:00Z</cp:lastPrinted>
  <dcterms:created xsi:type="dcterms:W3CDTF">2019-04-23T21:15:00Z</dcterms:created>
  <dcterms:modified xsi:type="dcterms:W3CDTF">2019-04-23T21:15:00Z</dcterms:modified>
</cp:coreProperties>
</file>